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E3CC" w14:textId="77777777" w:rsidR="00E71A3B" w:rsidRDefault="00E71A3B">
      <w:pPr>
        <w:rPr>
          <w:rFonts w:ascii="Tahoma" w:eastAsia="Times New Roman" w:hAnsi="Tahoma" w:cs="Tahoma"/>
          <w:b/>
          <w:color w:val="C00000"/>
          <w:sz w:val="48"/>
          <w:szCs w:val="32"/>
          <w:u w:val="single"/>
        </w:rPr>
      </w:pPr>
    </w:p>
    <w:p w14:paraId="0842F2D6" w14:textId="77777777" w:rsidR="00E71A3B" w:rsidRDefault="00E71A3B">
      <w:pPr>
        <w:rPr>
          <w:rFonts w:ascii="Tahoma" w:eastAsia="Times New Roman" w:hAnsi="Tahoma" w:cs="Tahoma"/>
          <w:b/>
          <w:color w:val="C00000"/>
          <w:sz w:val="48"/>
          <w:szCs w:val="32"/>
          <w:u w:val="single"/>
        </w:rPr>
      </w:pPr>
    </w:p>
    <w:p w14:paraId="1882D57D" w14:textId="77777777" w:rsidR="00E71A3B" w:rsidRDefault="00E8575B" w:rsidP="00625C86">
      <w:pPr>
        <w:jc w:val="center"/>
        <w:rPr>
          <w:rFonts w:ascii="Tahoma" w:eastAsia="Times New Roman" w:hAnsi="Tahoma" w:cs="Tahoma"/>
          <w:b/>
          <w:color w:val="C00000"/>
          <w:sz w:val="48"/>
          <w:szCs w:val="32"/>
          <w:u w:val="single"/>
        </w:rPr>
      </w:pPr>
      <w:proofErr w:type="spellStart"/>
      <w:r>
        <w:rPr>
          <w:rFonts w:ascii="Tahoma" w:eastAsia="Times New Roman" w:hAnsi="Tahoma" w:cs="Tahoma"/>
          <w:b/>
          <w:color w:val="C00000"/>
          <w:sz w:val="48"/>
          <w:szCs w:val="32"/>
          <w:u w:val="single"/>
        </w:rPr>
        <w:t>Broadbottom</w:t>
      </w:r>
      <w:proofErr w:type="spellEnd"/>
      <w:r>
        <w:rPr>
          <w:rFonts w:ascii="Tahoma" w:eastAsia="Times New Roman" w:hAnsi="Tahoma" w:cs="Tahoma"/>
          <w:b/>
          <w:color w:val="C00000"/>
          <w:sz w:val="48"/>
          <w:szCs w:val="32"/>
          <w:u w:val="single"/>
        </w:rPr>
        <w:t xml:space="preserve"> C of E Primary School</w:t>
      </w:r>
    </w:p>
    <w:p w14:paraId="6E44ED55" w14:textId="356805A7" w:rsidR="00E71A3B" w:rsidRDefault="00625C86">
      <w:pPr>
        <w:rPr>
          <w:rFonts w:ascii="Comic Sans MS" w:eastAsia="Times New Roman" w:hAnsi="Comic Sans MS" w:cs="Times New Roman"/>
          <w:color w:val="548DD4"/>
          <w:sz w:val="32"/>
          <w:szCs w:val="32"/>
          <w:u w:val="single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286C173B" wp14:editId="68653BBF">
            <wp:simplePos x="0" y="0"/>
            <wp:positionH relativeFrom="column">
              <wp:posOffset>2070735</wp:posOffset>
            </wp:positionH>
            <wp:positionV relativeFrom="paragraph">
              <wp:posOffset>257175</wp:posOffset>
            </wp:positionV>
            <wp:extent cx="1419225" cy="1796415"/>
            <wp:effectExtent l="0" t="0" r="9525" b="0"/>
            <wp:wrapSquare wrapText="bothSides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64F" w14:textId="1521312B" w:rsidR="00E71A3B" w:rsidRDefault="00E71A3B">
      <w:pPr>
        <w:rPr>
          <w:rFonts w:ascii="Comic Sans MS" w:eastAsia="Times New Roman" w:hAnsi="Comic Sans MS" w:cs="Times New Roman"/>
          <w:color w:val="548DD4"/>
          <w:sz w:val="32"/>
          <w:szCs w:val="32"/>
          <w:u w:val="single"/>
        </w:rPr>
      </w:pPr>
    </w:p>
    <w:p w14:paraId="0ACBEC37" w14:textId="77777777" w:rsidR="00E71A3B" w:rsidRDefault="00E71A3B">
      <w:pPr>
        <w:rPr>
          <w:rFonts w:ascii="Comic Sans MS" w:eastAsia="Times New Roman" w:hAnsi="Comic Sans MS" w:cs="Times New Roman"/>
          <w:color w:val="548DD4"/>
          <w:sz w:val="32"/>
          <w:szCs w:val="32"/>
          <w:u w:val="single"/>
        </w:rPr>
      </w:pPr>
    </w:p>
    <w:p w14:paraId="273765EE" w14:textId="77777777" w:rsidR="00E71A3B" w:rsidRDefault="00E71A3B" w:rsidP="00625C86">
      <w:pPr>
        <w:rPr>
          <w:rFonts w:ascii="Arial" w:eastAsia="Times New Roman" w:hAnsi="Arial" w:cs="Arial"/>
          <w:sz w:val="72"/>
          <w:szCs w:val="144"/>
        </w:rPr>
      </w:pPr>
    </w:p>
    <w:p w14:paraId="0D9F0CF8" w14:textId="77777777" w:rsidR="00625C86" w:rsidRDefault="00625C86">
      <w:pPr>
        <w:jc w:val="center"/>
        <w:rPr>
          <w:rFonts w:ascii="Arial" w:eastAsia="Times New Roman" w:hAnsi="Arial" w:cs="Arial"/>
          <w:sz w:val="72"/>
          <w:szCs w:val="144"/>
        </w:rPr>
      </w:pPr>
    </w:p>
    <w:p w14:paraId="134E2498" w14:textId="72ADB8FF" w:rsidR="00E71A3B" w:rsidRDefault="00E8575B">
      <w:pPr>
        <w:jc w:val="center"/>
        <w:rPr>
          <w:rFonts w:ascii="Arial" w:eastAsia="Times New Roman" w:hAnsi="Arial" w:cs="Arial"/>
          <w:sz w:val="72"/>
          <w:szCs w:val="144"/>
        </w:rPr>
      </w:pPr>
      <w:r>
        <w:rPr>
          <w:rFonts w:ascii="Arial" w:eastAsia="Times New Roman" w:hAnsi="Arial" w:cs="Arial"/>
          <w:sz w:val="72"/>
          <w:szCs w:val="144"/>
        </w:rPr>
        <w:t>Math</w:t>
      </w:r>
      <w:r w:rsidR="00FA1A35">
        <w:rPr>
          <w:rFonts w:ascii="Arial" w:eastAsia="Times New Roman" w:hAnsi="Arial" w:cs="Arial"/>
          <w:sz w:val="72"/>
          <w:szCs w:val="144"/>
        </w:rPr>
        <w:t>ematic</w:t>
      </w:r>
      <w:r>
        <w:rPr>
          <w:rFonts w:ascii="Arial" w:eastAsia="Times New Roman" w:hAnsi="Arial" w:cs="Arial"/>
          <w:sz w:val="72"/>
          <w:szCs w:val="144"/>
        </w:rPr>
        <w:t>s Policy</w:t>
      </w:r>
    </w:p>
    <w:p w14:paraId="0C0D1598" w14:textId="77777777" w:rsidR="00625C86" w:rsidRDefault="00625C86" w:rsidP="00625C86">
      <w:pPr>
        <w:pStyle w:val="Heading1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Non-Statutory</w:t>
      </w:r>
    </w:p>
    <w:p w14:paraId="085CE5C4" w14:textId="1204DE12" w:rsidR="00625C86" w:rsidRDefault="00625C86" w:rsidP="00625C86">
      <w:pPr>
        <w:keepNext/>
        <w:jc w:val="center"/>
        <w:outlineLvl w:val="2"/>
        <w:rPr>
          <w:rFonts w:ascii="Tahoma" w:hAnsi="Tahoma" w:cs="Tahoma"/>
          <w:color w:val="800000"/>
          <w:sz w:val="36"/>
        </w:rPr>
      </w:pPr>
      <w:r>
        <w:rPr>
          <w:rFonts w:ascii="Tahoma" w:hAnsi="Tahoma" w:cs="Tahoma"/>
          <w:color w:val="800000"/>
          <w:sz w:val="36"/>
        </w:rPr>
        <w:t xml:space="preserve">   </w:t>
      </w:r>
    </w:p>
    <w:p w14:paraId="6EE7482C" w14:textId="20433286" w:rsidR="00625C86" w:rsidRDefault="0095580F" w:rsidP="00625C86">
      <w:pPr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February 2023</w:t>
      </w:r>
    </w:p>
    <w:p w14:paraId="7B5590E2" w14:textId="226A06A7" w:rsidR="00E71A3B" w:rsidRPr="00625C86" w:rsidRDefault="00E71A3B" w:rsidP="00625C86">
      <w:pPr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4A73E3B8" w14:textId="77777777" w:rsidR="00625C86" w:rsidRDefault="00625C86">
      <w:pPr>
        <w:jc w:val="center"/>
        <w:rPr>
          <w:rFonts w:ascii="Arial" w:eastAsia="Times New Roman" w:hAnsi="Arial" w:cs="Arial"/>
          <w:sz w:val="40"/>
          <w:szCs w:val="44"/>
        </w:rPr>
      </w:pPr>
    </w:p>
    <w:p w14:paraId="57111DA9" w14:textId="77777777" w:rsidR="00625C86" w:rsidRDefault="00625C86">
      <w:pPr>
        <w:jc w:val="center"/>
        <w:rPr>
          <w:rFonts w:ascii="Arial" w:eastAsia="Times New Roman" w:hAnsi="Arial" w:cs="Arial"/>
          <w:sz w:val="40"/>
          <w:szCs w:val="44"/>
        </w:rPr>
      </w:pPr>
    </w:p>
    <w:p w14:paraId="48DBFB08" w14:textId="77777777" w:rsidR="00625C86" w:rsidRDefault="00625C86">
      <w:pPr>
        <w:jc w:val="center"/>
        <w:rPr>
          <w:rFonts w:ascii="Arial" w:eastAsia="Times New Roman" w:hAnsi="Arial" w:cs="Arial"/>
          <w:sz w:val="40"/>
          <w:szCs w:val="44"/>
        </w:rPr>
      </w:pPr>
    </w:p>
    <w:p w14:paraId="1CA4325A" w14:textId="46ABD375" w:rsidR="00E71A3B" w:rsidRPr="00625C86" w:rsidRDefault="00E8575B">
      <w:pPr>
        <w:jc w:val="center"/>
        <w:rPr>
          <w:rFonts w:ascii="Arial" w:eastAsia="Times New Roman" w:hAnsi="Arial" w:cs="Arial"/>
          <w:sz w:val="40"/>
          <w:szCs w:val="44"/>
        </w:rPr>
      </w:pPr>
      <w:r w:rsidRPr="00625C86">
        <w:rPr>
          <w:rFonts w:ascii="Arial" w:eastAsia="Times New Roman" w:hAnsi="Arial" w:cs="Arial"/>
          <w:sz w:val="40"/>
          <w:szCs w:val="44"/>
        </w:rPr>
        <w:t>Signed……………………….</w:t>
      </w:r>
    </w:p>
    <w:p w14:paraId="622C7119" w14:textId="77777777" w:rsidR="00E71A3B" w:rsidRPr="00FA1A35" w:rsidRDefault="00E8575B">
      <w:pPr>
        <w:jc w:val="center"/>
        <w:rPr>
          <w:rFonts w:ascii="Arial" w:eastAsia="Times New Roman" w:hAnsi="Arial" w:cs="Arial"/>
          <w:sz w:val="48"/>
          <w:szCs w:val="52"/>
        </w:rPr>
      </w:pPr>
      <w:r w:rsidRPr="00625C86">
        <w:rPr>
          <w:rFonts w:ascii="Arial" w:eastAsia="Times New Roman" w:hAnsi="Arial" w:cs="Arial"/>
          <w:sz w:val="40"/>
          <w:szCs w:val="44"/>
        </w:rPr>
        <w:t>Dated……………………</w:t>
      </w:r>
      <w:proofErr w:type="gramStart"/>
      <w:r w:rsidRPr="00625C86">
        <w:rPr>
          <w:rFonts w:ascii="Arial" w:eastAsia="Times New Roman" w:hAnsi="Arial" w:cs="Arial"/>
          <w:sz w:val="40"/>
          <w:szCs w:val="44"/>
        </w:rPr>
        <w:t>…..</w:t>
      </w:r>
      <w:proofErr w:type="gramEnd"/>
    </w:p>
    <w:p w14:paraId="5DFBB415" w14:textId="77777777" w:rsidR="00E71A3B" w:rsidRDefault="00E71A3B">
      <w:pPr>
        <w:rPr>
          <w:rFonts w:ascii="Tahoma" w:hAnsi="Tahoma" w:cs="Tahoma"/>
          <w:b/>
          <w:color w:val="C00000"/>
          <w:sz w:val="32"/>
          <w:szCs w:val="32"/>
          <w:u w:val="single"/>
        </w:rPr>
      </w:pPr>
    </w:p>
    <w:p w14:paraId="1C3867F7" w14:textId="77777777" w:rsidR="00E71A3B" w:rsidRDefault="00E71A3B">
      <w:pPr>
        <w:spacing w:after="0" w:line="240" w:lineRule="auto"/>
        <w:ind w:left="-567" w:right="43"/>
        <w:jc w:val="both"/>
        <w:rPr>
          <w:rFonts w:ascii="Tahoma" w:eastAsia="Times New Roman" w:hAnsi="Tahoma" w:cs="Tahoma"/>
          <w:b/>
          <w:sz w:val="24"/>
          <w:szCs w:val="24"/>
          <w:u w:val="single" w:color="C00000"/>
          <w:lang w:eastAsia="en-US"/>
        </w:rPr>
      </w:pPr>
    </w:p>
    <w:p w14:paraId="3AF93C82" w14:textId="5E9682CC" w:rsidR="00E71A3B" w:rsidRDefault="00E8575B">
      <w:pP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  <w:proofErr w:type="spellStart"/>
      <w:r>
        <w:rPr>
          <w:rFonts w:ascii="Arial" w:hAnsi="Arial" w:cs="Arial"/>
          <w:b/>
          <w:color w:val="C00000"/>
          <w:sz w:val="32"/>
          <w:szCs w:val="32"/>
        </w:rPr>
        <w:lastRenderedPageBreak/>
        <w:t>Broadbottom</w:t>
      </w:r>
      <w:proofErr w:type="spellEnd"/>
      <w:r>
        <w:rPr>
          <w:rFonts w:ascii="Arial" w:hAnsi="Arial" w:cs="Arial"/>
          <w:b/>
          <w:color w:val="C00000"/>
          <w:sz w:val="32"/>
          <w:szCs w:val="32"/>
        </w:rPr>
        <w:t xml:space="preserve"> C of E Primary School</w:t>
      </w:r>
    </w:p>
    <w:p w14:paraId="06930F89" w14:textId="77777777" w:rsidR="00E71A3B" w:rsidRDefault="00E71A3B">
      <w:pPr>
        <w:spacing w:after="0" w:line="240" w:lineRule="auto"/>
        <w:ind w:left="2160" w:firstLine="720"/>
        <w:rPr>
          <w:rFonts w:ascii="Arial" w:hAnsi="Arial" w:cs="Arial"/>
          <w:sz w:val="32"/>
          <w:szCs w:val="32"/>
        </w:rPr>
      </w:pPr>
    </w:p>
    <w:p w14:paraId="543524AA" w14:textId="77777777" w:rsidR="00FA1A35" w:rsidRDefault="00FA1A35" w:rsidP="00FA1A3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MISSION STATEMENT</w:t>
      </w:r>
    </w:p>
    <w:p w14:paraId="15CC7F0D" w14:textId="77777777" w:rsidR="00FA1A35" w:rsidRDefault="00FA1A35" w:rsidP="00FA1A3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 </w:t>
      </w:r>
      <w:proofErr w:type="spellStart"/>
      <w:r>
        <w:rPr>
          <w:rFonts w:ascii="Comic Sans MS" w:hAnsi="Comic Sans MS"/>
          <w:sz w:val="24"/>
          <w:szCs w:val="24"/>
        </w:rPr>
        <w:t>Broadbottom</w:t>
      </w:r>
      <w:proofErr w:type="spellEnd"/>
      <w:r>
        <w:rPr>
          <w:rFonts w:ascii="Comic Sans MS" w:hAnsi="Comic Sans MS"/>
          <w:sz w:val="24"/>
          <w:szCs w:val="24"/>
        </w:rPr>
        <w:t xml:space="preserve"> CE Primary we are extremely proud of our Christian Community School. We welcome everyone, embrace </w:t>
      </w:r>
      <w:proofErr w:type="gramStart"/>
      <w:r>
        <w:rPr>
          <w:rFonts w:ascii="Comic Sans MS" w:hAnsi="Comic Sans MS"/>
          <w:sz w:val="24"/>
          <w:szCs w:val="24"/>
        </w:rPr>
        <w:t>individuality</w:t>
      </w:r>
      <w:proofErr w:type="gramEnd"/>
      <w:r>
        <w:rPr>
          <w:rFonts w:ascii="Comic Sans MS" w:hAnsi="Comic Sans MS"/>
          <w:sz w:val="24"/>
          <w:szCs w:val="24"/>
        </w:rPr>
        <w:t xml:space="preserve"> and nurture and empower our pupils. We do this through an engaging curriculum that promotes faith, understanding and skills and is underpinned by Christian and British Values.</w:t>
      </w:r>
    </w:p>
    <w:p w14:paraId="6132E1C6" w14:textId="77777777" w:rsidR="00FA1A35" w:rsidRDefault="00FA1A35" w:rsidP="00FA1A3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0C50C7" w14:textId="77777777" w:rsidR="00FA1A35" w:rsidRDefault="00FA1A35" w:rsidP="00FA1A3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We…</w:t>
      </w:r>
    </w:p>
    <w:p w14:paraId="0B83D90F" w14:textId="77777777" w:rsidR="00FA1A35" w:rsidRDefault="00FA1A35" w:rsidP="00FA1A35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Love God, the world, </w:t>
      </w:r>
      <w:proofErr w:type="gramStart"/>
      <w:r>
        <w:rPr>
          <w:rFonts w:ascii="Comic Sans MS" w:hAnsi="Comic Sans MS"/>
          <w:sz w:val="24"/>
          <w:szCs w:val="24"/>
        </w:rPr>
        <w:t>each other</w:t>
      </w:r>
      <w:proofErr w:type="gramEnd"/>
      <w:r>
        <w:rPr>
          <w:rFonts w:ascii="Comic Sans MS" w:hAnsi="Comic Sans MS"/>
          <w:sz w:val="24"/>
          <w:szCs w:val="24"/>
        </w:rPr>
        <w:t xml:space="preserve"> and ourselves.</w:t>
      </w:r>
    </w:p>
    <w:p w14:paraId="5C2AC42D" w14:textId="77777777" w:rsidR="00FA1A35" w:rsidRDefault="00FA1A35" w:rsidP="00FA1A35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Cherish our pupils and act as their champions</w:t>
      </w:r>
      <w:r>
        <w:rPr>
          <w:rFonts w:ascii="Comic Sans MS" w:hAnsi="Comic Sans MS"/>
          <w:b/>
          <w:sz w:val="24"/>
          <w:szCs w:val="24"/>
        </w:rPr>
        <w:t>.</w:t>
      </w:r>
    </w:p>
    <w:p w14:paraId="6FB4E73C" w14:textId="77777777" w:rsidR="00FA1A35" w:rsidRDefault="00FA1A35" w:rsidP="00FA1A35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Provide safe yet challenging opportunities to learn, blossom and grow.</w:t>
      </w:r>
    </w:p>
    <w:p w14:paraId="0A17D06D" w14:textId="77777777" w:rsidR="00FA1A35" w:rsidRDefault="00FA1A35" w:rsidP="00FA1A35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Surround ourselves with fun, laughter, </w:t>
      </w:r>
      <w:proofErr w:type="gramStart"/>
      <w:r>
        <w:rPr>
          <w:rFonts w:ascii="Comic Sans MS" w:hAnsi="Comic Sans MS"/>
          <w:sz w:val="24"/>
          <w:szCs w:val="24"/>
        </w:rPr>
        <w:t>positivity</w:t>
      </w:r>
      <w:proofErr w:type="gramEnd"/>
      <w:r>
        <w:rPr>
          <w:rFonts w:ascii="Comic Sans MS" w:hAnsi="Comic Sans MS"/>
          <w:sz w:val="24"/>
          <w:szCs w:val="24"/>
        </w:rPr>
        <w:t xml:space="preserve"> and happiness, creating a place where memories are made.</w:t>
      </w:r>
    </w:p>
    <w:p w14:paraId="4EA3A12A" w14:textId="77777777" w:rsidR="00FA1A35" w:rsidRDefault="00FA1A35" w:rsidP="00FA1A35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Trust each other to act with integrity and to forgive when we make mistakes.</w:t>
      </w:r>
    </w:p>
    <w:p w14:paraId="766AB19B" w14:textId="77777777" w:rsidR="00FA1A35" w:rsidRDefault="00FA1A35" w:rsidP="00FA1A35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Love Learning and Love Life.</w:t>
      </w:r>
    </w:p>
    <w:p w14:paraId="762C6FFB" w14:textId="77777777" w:rsidR="00FA1A35" w:rsidRDefault="00FA1A35" w:rsidP="00FA1A35">
      <w:pPr>
        <w:pStyle w:val="ListParagraph"/>
        <w:numPr>
          <w:ilvl w:val="0"/>
          <w:numId w:val="1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Are creative in our thinking, outlook and </w:t>
      </w:r>
      <w:proofErr w:type="gramStart"/>
      <w:r>
        <w:rPr>
          <w:rFonts w:ascii="Comic Sans MS" w:hAnsi="Comic Sans MS"/>
          <w:sz w:val="24"/>
          <w:szCs w:val="24"/>
        </w:rPr>
        <w:t>approach</w:t>
      </w:r>
      <w:proofErr w:type="gramEnd"/>
    </w:p>
    <w:p w14:paraId="21D0E6F2" w14:textId="77777777" w:rsidR="00FA1A35" w:rsidRDefault="00FA1A35" w:rsidP="00FA1A35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Communicate effectively</w:t>
      </w:r>
    </w:p>
    <w:p w14:paraId="6638A801" w14:textId="77777777" w:rsidR="00FA1A35" w:rsidRDefault="00FA1A35" w:rsidP="00FA1A35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time and patience to develop minds</w:t>
      </w:r>
    </w:p>
    <w:p w14:paraId="26922341" w14:textId="77777777" w:rsidR="00FA1A35" w:rsidRDefault="00FA1A35" w:rsidP="00FA1A35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Discover individual sparks to let everyone’s light shine. </w:t>
      </w:r>
    </w:p>
    <w:p w14:paraId="4F5F35E0" w14:textId="77777777" w:rsidR="00FA1A35" w:rsidRDefault="00FA1A35" w:rsidP="00FA1A35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Nurture a love of learning and a belief in oneself.</w:t>
      </w:r>
    </w:p>
    <w:p w14:paraId="12A2B43C" w14:textId="77777777" w:rsidR="00FA1A35" w:rsidRDefault="00FA1A35" w:rsidP="00FA1A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6E91DD1" w14:textId="77777777" w:rsidR="00FA1A35" w:rsidRDefault="00FA1A35" w:rsidP="00FA1A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829A15C" w14:textId="77777777" w:rsidR="00FA1A35" w:rsidRDefault="00FA1A35" w:rsidP="00FA1A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020165F" w14:textId="77777777" w:rsidR="00FA1A35" w:rsidRDefault="00FA1A35" w:rsidP="00FA1A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A070D15" w14:textId="77777777" w:rsidR="00FA1A35" w:rsidRDefault="00FA1A35" w:rsidP="00FA1A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B8DBEE9" w14:textId="77777777" w:rsidR="00FA1A35" w:rsidRDefault="00FA1A35" w:rsidP="00FA1A35">
      <w:pPr>
        <w:rPr>
          <w:rFonts w:ascii="Comic Sans MS" w:hAnsi="Comic Sans MS"/>
        </w:rPr>
      </w:pPr>
    </w:p>
    <w:p w14:paraId="67E1DA24" w14:textId="77777777" w:rsidR="00FA1A35" w:rsidRDefault="00FA1A35" w:rsidP="00FA1A3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5E7A8DB0" w14:textId="77777777" w:rsidR="00FA1A35" w:rsidRDefault="00FA1A35" w:rsidP="00FA1A3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1E9A8762" w14:textId="77777777" w:rsidR="00FA1A35" w:rsidRDefault="00FA1A35" w:rsidP="00FA1A3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15715059" w14:textId="77777777" w:rsidR="00625C86" w:rsidRDefault="00625C86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2C7B91C" w14:textId="48B9A810" w:rsidR="00E71A3B" w:rsidRDefault="00E8575B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lastRenderedPageBreak/>
        <w:t>School Vision</w:t>
      </w:r>
    </w:p>
    <w:p w14:paraId="531545CE" w14:textId="77777777" w:rsidR="00E71A3B" w:rsidRDefault="00E71A3B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7223D97B" w14:textId="77777777" w:rsidR="00E71A3B" w:rsidRDefault="00E8575B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Broadbottom</w:t>
      </w:r>
      <w:proofErr w:type="spellEnd"/>
      <w:r>
        <w:rPr>
          <w:rFonts w:ascii="Comic Sans MS" w:hAnsi="Comic Sans MS"/>
        </w:rPr>
        <w:t xml:space="preserve"> CE Primary School promises to provide a happy, safe, Christian environment for all pupils to flourish and develop talents, interests, excellent learning attitudes and behaviours. </w:t>
      </w:r>
    </w:p>
    <w:p w14:paraId="645B483B" w14:textId="77777777" w:rsidR="00E71A3B" w:rsidRDefault="00E857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intention is for the learning journey to maximise full academic, social, </w:t>
      </w:r>
      <w:proofErr w:type="gramStart"/>
      <w:r>
        <w:rPr>
          <w:rFonts w:ascii="Comic Sans MS" w:hAnsi="Comic Sans MS"/>
        </w:rPr>
        <w:t>emotional</w:t>
      </w:r>
      <w:proofErr w:type="gramEnd"/>
      <w:r>
        <w:rPr>
          <w:rFonts w:ascii="Comic Sans MS" w:hAnsi="Comic Sans MS"/>
        </w:rPr>
        <w:t xml:space="preserve"> and physical potentials. We aim to develop life skills, </w:t>
      </w:r>
      <w:proofErr w:type="gramStart"/>
      <w:r>
        <w:rPr>
          <w:rFonts w:ascii="Comic Sans MS" w:hAnsi="Comic Sans MS"/>
        </w:rPr>
        <w:t>tolerance</w:t>
      </w:r>
      <w:proofErr w:type="gramEnd"/>
      <w:r>
        <w:rPr>
          <w:rFonts w:ascii="Comic Sans MS" w:hAnsi="Comic Sans MS"/>
        </w:rPr>
        <w:t xml:space="preserve"> and resilience, in a school environment that cherishes individuality and positively encourages pupils to shine.  </w:t>
      </w:r>
    </w:p>
    <w:p w14:paraId="1CEEE5B7" w14:textId="77777777" w:rsidR="00E71A3B" w:rsidRDefault="00E8575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“Let your light shine,” Matthew 5:16</w:t>
      </w:r>
    </w:p>
    <w:p w14:paraId="13EF4EA3" w14:textId="77777777" w:rsidR="00E71A3B" w:rsidRDefault="00E71A3B">
      <w:pPr>
        <w:jc w:val="center"/>
        <w:rPr>
          <w:rFonts w:ascii="Comic Sans MS" w:hAnsi="Comic Sans MS"/>
          <w:b/>
        </w:rPr>
      </w:pPr>
    </w:p>
    <w:p w14:paraId="5EA87CAF" w14:textId="77777777" w:rsidR="00E71A3B" w:rsidRDefault="00E8575B">
      <w:pPr>
        <w:rPr>
          <w:rFonts w:ascii="Comic Sans MS" w:hAnsi="Comic Sans MS"/>
        </w:rPr>
      </w:pPr>
      <w:r>
        <w:rPr>
          <w:rFonts w:ascii="Comic Sans MS" w:hAnsi="Comic Sans MS"/>
        </w:rPr>
        <w:t>With Christianity at the heart of our intentions, we aim to:</w:t>
      </w:r>
    </w:p>
    <w:p w14:paraId="00C42BA1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Strengthen the spirituality of staff and pupils, whilst creating a culture of high expectations, that is mindful of health and wellbeing</w:t>
      </w:r>
    </w:p>
    <w:p w14:paraId="00CA821B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Provide high quality teaching and learning, that develops individual potential and enriches pupil’s lives</w:t>
      </w:r>
    </w:p>
    <w:p w14:paraId="73EDE547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Engage in partnerships that support and serve the school community</w:t>
      </w:r>
    </w:p>
    <w:p w14:paraId="0881C539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Continue to review and challenge the curriculum for our pupils, to ensure it is relevant for their future workforce needs</w:t>
      </w:r>
    </w:p>
    <w:p w14:paraId="7577E090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 w:cs="Arial"/>
          <w:shd w:val="clear" w:color="auto" w:fill="FFFFFF"/>
        </w:rPr>
        <w:t>Continually improve performance through evaluation of practice</w:t>
      </w:r>
    </w:p>
    <w:p w14:paraId="12EEF1BF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 w:cs="Arial"/>
          <w:shd w:val="clear" w:color="auto" w:fill="FFFFFF"/>
        </w:rPr>
        <w:t xml:space="preserve">Equip children and families with the knowledge, skills, independence and resilience to face future </w:t>
      </w:r>
      <w:proofErr w:type="gramStart"/>
      <w:r>
        <w:rPr>
          <w:rFonts w:ascii="Comic Sans MS" w:hAnsi="Comic Sans MS" w:cs="Arial"/>
          <w:shd w:val="clear" w:color="auto" w:fill="FFFFFF"/>
        </w:rPr>
        <w:t>challenges</w:t>
      </w:r>
      <w:proofErr w:type="gramEnd"/>
    </w:p>
    <w:p w14:paraId="73BCE28F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Instil traditional values of hard work, courtesy, respect and good </w:t>
      </w:r>
      <w:proofErr w:type="gramStart"/>
      <w:r>
        <w:rPr>
          <w:rFonts w:ascii="Comic Sans MS" w:hAnsi="Comic Sans MS"/>
        </w:rPr>
        <w:t>behaviour</w:t>
      </w:r>
      <w:proofErr w:type="gramEnd"/>
    </w:p>
    <w:p w14:paraId="304C6E4D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Nurture an understanding of how special and unique we are in the eyes of God</w:t>
      </w:r>
    </w:p>
    <w:p w14:paraId="7F305E9B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Broaden our knowledge and understanding of world issues and develop courageous advocates who will help others shine</w:t>
      </w:r>
    </w:p>
    <w:p w14:paraId="7DAA49F4" w14:textId="77777777" w:rsidR="00E71A3B" w:rsidRDefault="00E8575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Link our heritage with overseas charities to support others, as our local community has been supported in the past</w:t>
      </w:r>
    </w:p>
    <w:p w14:paraId="08E41A58" w14:textId="77777777" w:rsidR="00E71A3B" w:rsidRDefault="00E71A3B">
      <w:pPr>
        <w:jc w:val="center"/>
        <w:rPr>
          <w:rFonts w:ascii="Comic Sans MS" w:hAnsi="Comic Sans MS"/>
          <w:b/>
        </w:rPr>
      </w:pPr>
    </w:p>
    <w:p w14:paraId="31D34975" w14:textId="77777777" w:rsidR="00E71A3B" w:rsidRDefault="00E71A3B">
      <w:pPr>
        <w:jc w:val="center"/>
        <w:rPr>
          <w:rFonts w:ascii="Comic Sans MS" w:hAnsi="Comic Sans MS"/>
          <w:b/>
        </w:rPr>
      </w:pPr>
    </w:p>
    <w:p w14:paraId="11B5DCC8" w14:textId="77777777" w:rsidR="00E71A3B" w:rsidRDefault="00E71A3B">
      <w:pPr>
        <w:jc w:val="center"/>
        <w:rPr>
          <w:rFonts w:ascii="Comic Sans MS" w:hAnsi="Comic Sans MS"/>
          <w:b/>
        </w:rPr>
      </w:pPr>
    </w:p>
    <w:p w14:paraId="08E39EE1" w14:textId="11DC1940" w:rsidR="00E71A3B" w:rsidRDefault="00E71A3B">
      <w:pPr>
        <w:jc w:val="center"/>
        <w:rPr>
          <w:rFonts w:ascii="Comic Sans MS" w:hAnsi="Comic Sans MS"/>
          <w:b/>
        </w:rPr>
      </w:pPr>
    </w:p>
    <w:p w14:paraId="43C16EA3" w14:textId="6EBE3A81" w:rsidR="00FA1A35" w:rsidRDefault="00FA1A35">
      <w:pPr>
        <w:jc w:val="center"/>
        <w:rPr>
          <w:rFonts w:ascii="Comic Sans MS" w:hAnsi="Comic Sans MS"/>
          <w:b/>
        </w:rPr>
      </w:pPr>
    </w:p>
    <w:p w14:paraId="12D75828" w14:textId="6A5DC295" w:rsidR="00FA1A35" w:rsidRDefault="00FA1A35">
      <w:pPr>
        <w:jc w:val="center"/>
        <w:rPr>
          <w:rFonts w:ascii="Comic Sans MS" w:hAnsi="Comic Sans MS"/>
          <w:b/>
        </w:rPr>
      </w:pPr>
    </w:p>
    <w:p w14:paraId="29FEB5FB" w14:textId="77777777" w:rsidR="00FA1A35" w:rsidRDefault="00FA1A35">
      <w:pPr>
        <w:jc w:val="center"/>
        <w:rPr>
          <w:rFonts w:ascii="Comic Sans MS" w:hAnsi="Comic Sans MS"/>
          <w:b/>
        </w:rPr>
      </w:pPr>
    </w:p>
    <w:p w14:paraId="1F52D663" w14:textId="77777777" w:rsidR="00E71A3B" w:rsidRDefault="00E8575B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Mathematics is a creative and highly inter-connected discipline that has been developed over centuries, providing the solution to some of history’s most intriguing problems. It is essential to everyday life, critical to science, </w:t>
      </w:r>
      <w:proofErr w:type="gramStart"/>
      <w:r>
        <w:rPr>
          <w:rFonts w:ascii="Arial" w:hAnsi="Arial" w:cs="Arial"/>
        </w:rPr>
        <w:t>technology</w:t>
      </w:r>
      <w:proofErr w:type="gramEnd"/>
      <w:r>
        <w:rPr>
          <w:rFonts w:ascii="Arial" w:hAnsi="Arial" w:cs="Arial"/>
        </w:rPr>
        <w:t xml:space="preserve"> and engineering, and necessary in most forms of employment. A high-quality mathematics education therefore provides a foundation for understanding the world, the ability to reason mathematically, and a sense of enjoyment and curiosity about the subject. (National Curriculum 2014)</w:t>
      </w:r>
    </w:p>
    <w:p w14:paraId="47F753BB" w14:textId="77777777" w:rsidR="00E71A3B" w:rsidRDefault="00E8575B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Purpose</w:t>
      </w:r>
    </w:p>
    <w:p w14:paraId="7653F683" w14:textId="77777777" w:rsidR="00E71A3B" w:rsidRDefault="00E8575B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policy is to describe our practice in Mathematics and the principles upon which this is based. </w:t>
      </w:r>
    </w:p>
    <w:p w14:paraId="0E24E7AB" w14:textId="77777777" w:rsidR="00E71A3B" w:rsidRDefault="00E8575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The aims of the 2014 National Curriculum are for our pupils to: </w:t>
      </w:r>
    </w:p>
    <w:p w14:paraId="38D84A23" w14:textId="77777777" w:rsidR="00E71A3B" w:rsidRDefault="00E8575B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Become fluent in the fundamentals of mathematics through varied and frequent practice with complexity increasing over time. </w:t>
      </w:r>
    </w:p>
    <w:p w14:paraId="5CA0F156" w14:textId="77777777" w:rsidR="00E71A3B" w:rsidRDefault="00E8575B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 conceptual understanding and ability to recall and apply knowledge rapidly and accurately. </w:t>
      </w:r>
    </w:p>
    <w:p w14:paraId="25575B2B" w14:textId="77777777" w:rsidR="00E71A3B" w:rsidRDefault="00E8575B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Reason mathematically; follow a line of enquiry, conjecture relationships and generalisations. </w:t>
      </w:r>
    </w:p>
    <w:p w14:paraId="23513BD1" w14:textId="77777777" w:rsidR="00E71A3B" w:rsidRDefault="00E8575B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 an argument, </w:t>
      </w:r>
      <w:proofErr w:type="gramStart"/>
      <w:r>
        <w:rPr>
          <w:rFonts w:ascii="Arial" w:hAnsi="Arial" w:cs="Arial"/>
          <w:szCs w:val="24"/>
        </w:rPr>
        <w:t>justification</w:t>
      </w:r>
      <w:proofErr w:type="gramEnd"/>
      <w:r>
        <w:rPr>
          <w:rFonts w:ascii="Arial" w:hAnsi="Arial" w:cs="Arial"/>
          <w:szCs w:val="24"/>
        </w:rPr>
        <w:t xml:space="preserve"> and proof by using mathematical language. </w:t>
      </w:r>
    </w:p>
    <w:p w14:paraId="7E70876E" w14:textId="77777777" w:rsidR="00E71A3B" w:rsidRDefault="00E8575B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Problem solve by applying knowledge to a variety of routine and non-routine problems. Breaking down problems into simpler steps and persevering in answering. </w:t>
      </w:r>
    </w:p>
    <w:p w14:paraId="3E08843E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National Curriculum sets out year-by-year programmes of study for key stages 1 and 2. This ensures continuity and progression in the teaching of mathematics. </w:t>
      </w:r>
    </w:p>
    <w:p w14:paraId="67C60CF9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EYFS Statutory Framework 2014 sets standards for the learning, </w:t>
      </w:r>
      <w:proofErr w:type="gramStart"/>
      <w:r>
        <w:rPr>
          <w:rFonts w:ascii="Arial" w:hAnsi="Arial" w:cs="Arial"/>
          <w:szCs w:val="24"/>
        </w:rPr>
        <w:t>development</w:t>
      </w:r>
      <w:proofErr w:type="gramEnd"/>
      <w:r>
        <w:rPr>
          <w:rFonts w:ascii="Arial" w:hAnsi="Arial" w:cs="Arial"/>
          <w:szCs w:val="24"/>
        </w:rPr>
        <w:t xml:space="preserve"> and care of children from birth to five years old and supports an integrated approach to early learning. This is supported by the ‘Development matters’ non statutory guidance. </w:t>
      </w:r>
    </w:p>
    <w:p w14:paraId="33EC8D1E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EYFS Framework in relation to mathematics aims for our pupils to: </w:t>
      </w:r>
    </w:p>
    <w:p w14:paraId="14EE7784" w14:textId="77777777" w:rsidR="00E71A3B" w:rsidRDefault="00E8575B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 and improve their skills in counting </w:t>
      </w:r>
    </w:p>
    <w:p w14:paraId="1B6BBE99" w14:textId="77777777" w:rsidR="00E71A3B" w:rsidRDefault="00E8575B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understand and use numbers </w:t>
      </w:r>
    </w:p>
    <w:p w14:paraId="0F7BBD8A" w14:textId="77777777" w:rsidR="00E71A3B" w:rsidRDefault="00E8575B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calculate simple addition and subtraction problems </w:t>
      </w:r>
    </w:p>
    <w:p w14:paraId="19231553" w14:textId="77777777" w:rsidR="00E71A3B" w:rsidRDefault="00E8575B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describe shapes, spaces, and measures School Curriculum - Programme of Study </w:t>
      </w:r>
    </w:p>
    <w:p w14:paraId="71F5E1D9" w14:textId="77777777" w:rsidR="00E71A3B" w:rsidRDefault="00E8575B">
      <w:pPr>
        <w:ind w:hanging="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t>Planning</w:t>
      </w:r>
    </w:p>
    <w:p w14:paraId="00E633BA" w14:textId="24798293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Years 1-6 use the White Rose Maths Hub schemes of learning as their medium term planning documents.  </w:t>
      </w:r>
      <w:r w:rsidR="0095580F">
        <w:rPr>
          <w:rFonts w:ascii="Arial" w:hAnsi="Arial" w:cs="Arial"/>
          <w:szCs w:val="24"/>
        </w:rPr>
        <w:t xml:space="preserve">These are used alongside the NCETM resources to provide a mastery curriculum for our pupils. </w:t>
      </w:r>
    </w:p>
    <w:p w14:paraId="1A5B1DA5" w14:textId="093444E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These schemes provide teachers with exemplification for maths objectives and are broken down into fluency, reasoning and problem solving, key aims of the National Curriculum. They support a mastery approach to teaching and learning and have number at their heart. They ensure teachers </w:t>
      </w:r>
      <w:r w:rsidR="0095580F">
        <w:rPr>
          <w:rFonts w:ascii="Arial" w:hAnsi="Arial" w:cs="Arial"/>
          <w:szCs w:val="24"/>
        </w:rPr>
        <w:t>remain</w:t>
      </w:r>
      <w:r>
        <w:rPr>
          <w:rFonts w:ascii="Arial" w:hAnsi="Arial" w:cs="Arial"/>
          <w:szCs w:val="24"/>
        </w:rPr>
        <w:t xml:space="preserve"> in the required key stage and support the ideal of depth before breadth. They support pupils working together as a whole group and provide plenty of time to build reasoning and </w:t>
      </w:r>
      <w:proofErr w:type="gramStart"/>
      <w:r>
        <w:rPr>
          <w:rFonts w:ascii="Arial" w:hAnsi="Arial" w:cs="Arial"/>
          <w:szCs w:val="24"/>
        </w:rPr>
        <w:t>problem solving</w:t>
      </w:r>
      <w:proofErr w:type="gramEnd"/>
      <w:r>
        <w:rPr>
          <w:rFonts w:ascii="Arial" w:hAnsi="Arial" w:cs="Arial"/>
          <w:szCs w:val="24"/>
        </w:rPr>
        <w:t xml:space="preserve"> elements into the curriculum.   </w:t>
      </w:r>
    </w:p>
    <w:p w14:paraId="348D09D3" w14:textId="77777777" w:rsidR="00E71A3B" w:rsidRDefault="00E71A3B">
      <w:pPr>
        <w:ind w:left="-284"/>
        <w:rPr>
          <w:rFonts w:ascii="Arial" w:hAnsi="Arial" w:cs="Arial"/>
          <w:sz w:val="28"/>
          <w:szCs w:val="32"/>
          <w:u w:val="single"/>
        </w:rPr>
      </w:pPr>
    </w:p>
    <w:p w14:paraId="2E3A63B8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lastRenderedPageBreak/>
        <w:t>Teaching and Learning</w:t>
      </w:r>
      <w:r>
        <w:rPr>
          <w:rFonts w:ascii="Arial" w:hAnsi="Arial" w:cs="Arial"/>
          <w:szCs w:val="24"/>
        </w:rPr>
        <w:t xml:space="preserve"> </w:t>
      </w:r>
    </w:p>
    <w:p w14:paraId="1110466D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approach to the teaching of mathematics within the school is based on: </w:t>
      </w:r>
    </w:p>
    <w:p w14:paraId="386A84C0" w14:textId="77777777" w:rsidR="00E71A3B" w:rsidRDefault="00E8575B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mathematics lesson every day </w:t>
      </w:r>
    </w:p>
    <w:p w14:paraId="0EB48EE1" w14:textId="77777777" w:rsidR="00E71A3B" w:rsidRDefault="00E8575B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clear focus on direct, instructional teaching and interactive oral work with both the whole class and smaller ability groups. The curriculum is delivered by class teachers. </w:t>
      </w:r>
    </w:p>
    <w:p w14:paraId="3FDA03E9" w14:textId="77777777" w:rsidR="00E71A3B" w:rsidRDefault="00E8575B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mastery approach, children start at the same point and move through their learning at their own pace, with challenges provided for greater depth achievers</w:t>
      </w:r>
    </w:p>
    <w:p w14:paraId="29D4E800" w14:textId="3543FC1B" w:rsidR="00E71A3B" w:rsidRDefault="00E8575B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regular key skills sessions focusing on fluency and the four operations</w:t>
      </w:r>
    </w:p>
    <w:p w14:paraId="0C2B5567" w14:textId="4737001B" w:rsidR="0095580F" w:rsidRDefault="0095580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regular practice of times tables. </w:t>
      </w:r>
    </w:p>
    <w:p w14:paraId="240BEDF7" w14:textId="6C5BA917" w:rsidR="0095580F" w:rsidRDefault="0095580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EYFS and Key Stage 1, Mastering Number is used to teach essential early skills in number. </w:t>
      </w:r>
    </w:p>
    <w:p w14:paraId="717280F9" w14:textId="200C0CA5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White Rose Maths documents support daily lesson planning. Concrete resources are used in all year groups to </w:t>
      </w:r>
      <w:r w:rsidR="0095580F">
        <w:rPr>
          <w:rFonts w:ascii="Arial" w:hAnsi="Arial" w:cs="Arial"/>
          <w:szCs w:val="24"/>
        </w:rPr>
        <w:t>develop</w:t>
      </w:r>
      <w:r>
        <w:rPr>
          <w:rFonts w:ascii="Arial" w:hAnsi="Arial" w:cs="Arial"/>
          <w:szCs w:val="24"/>
        </w:rPr>
        <w:t xml:space="preserve"> understanding. Resources from White Rose Maths</w:t>
      </w:r>
      <w:r w:rsidR="0095580F">
        <w:rPr>
          <w:rFonts w:ascii="Arial" w:hAnsi="Arial" w:cs="Arial"/>
          <w:szCs w:val="24"/>
        </w:rPr>
        <w:t>, NCETM</w:t>
      </w:r>
      <w:r>
        <w:rPr>
          <w:rFonts w:ascii="Arial" w:hAnsi="Arial" w:cs="Arial"/>
          <w:szCs w:val="24"/>
        </w:rPr>
        <w:t xml:space="preserve"> and Classroom Secrets have been purchased to provide a high level of visual resources as well as Target Your Maths text books, providing extra fluency practice of basic skills. </w:t>
      </w:r>
    </w:p>
    <w:p w14:paraId="50CAB6E2" w14:textId="6ADD98AA" w:rsidR="00E71A3B" w:rsidRDefault="00E8575B">
      <w:pPr>
        <w:spacing w:after="0" w:line="240" w:lineRule="auto"/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teachers are aware of the mastery approach and plan lessons which follow this</w:t>
      </w:r>
      <w:r w:rsidR="0095580F">
        <w:rPr>
          <w:rFonts w:ascii="Arial" w:hAnsi="Arial" w:cs="Arial"/>
          <w:szCs w:val="24"/>
        </w:rPr>
        <w:t xml:space="preserve"> structure</w:t>
      </w:r>
      <w:r>
        <w:rPr>
          <w:rFonts w:ascii="Arial" w:hAnsi="Arial" w:cs="Arial"/>
          <w:szCs w:val="24"/>
        </w:rPr>
        <w:t xml:space="preserve">. </w:t>
      </w:r>
    </w:p>
    <w:p w14:paraId="0BD6E1A2" w14:textId="28CBFB6C" w:rsidR="00E71A3B" w:rsidRDefault="0095580F">
      <w:pPr>
        <w:spacing w:after="0" w:line="240" w:lineRule="auto"/>
        <w:ind w:left="-284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46000D" wp14:editId="32BB66A2">
                <wp:simplePos x="0" y="0"/>
                <wp:positionH relativeFrom="column">
                  <wp:posOffset>-133350</wp:posOffset>
                </wp:positionH>
                <wp:positionV relativeFrom="paragraph">
                  <wp:posOffset>222250</wp:posOffset>
                </wp:positionV>
                <wp:extent cx="5876925" cy="5391150"/>
                <wp:effectExtent l="0" t="0" r="952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39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22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1"/>
                              <w:gridCol w:w="2412"/>
                              <w:gridCol w:w="2268"/>
                              <w:gridCol w:w="2551"/>
                            </w:tblGrid>
                            <w:tr w:rsidR="0095580F" w14:paraId="6F2DF81C" w14:textId="77777777" w:rsidTr="0095580F"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C9E2CF" w14:textId="77777777" w:rsidR="00E71A3B" w:rsidRDefault="00E8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 of maths teaching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0EE123" w14:textId="77777777" w:rsidR="00E71A3B" w:rsidRDefault="00E8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What is happening?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4DFCF8F" w14:textId="77777777" w:rsidR="00E71A3B" w:rsidRDefault="00E8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What will the children be doing?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2A849A" w14:textId="77777777" w:rsidR="00E71A3B" w:rsidRDefault="00E8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What will the teacher/ta be doing??</w:t>
                                  </w:r>
                                </w:p>
                              </w:tc>
                            </w:tr>
                            <w:tr w:rsidR="0095580F" w14:paraId="5AA0C7C8" w14:textId="77777777" w:rsidTr="0095580F">
                              <w:trPr>
                                <w:trHeight w:val="1430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5D8318" w14:textId="77777777" w:rsidR="00E71A3B" w:rsidRDefault="00E8575B">
                                  <w:r>
                                    <w:t>Key skills practice</w:t>
                                  </w:r>
                                </w:p>
                                <w:p w14:paraId="5194473A" w14:textId="7EAE6FA5" w:rsidR="0095580F" w:rsidRDefault="0095580F">
                                  <w:r>
                                    <w:t>(As a separate session to a maths lesson)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07D5C0E" w14:textId="2F852841" w:rsidR="00E71A3B" w:rsidRDefault="00E8575B">
                                  <w:r>
                                    <w:t xml:space="preserve">Practice of previously taught keys skills through games, quick fire questioning, </w:t>
                                  </w:r>
                                  <w:r w:rsidR="0095580F">
                                    <w:t>Doodle Maths/tables</w:t>
                                  </w:r>
                                  <w:r>
                                    <w:t xml:space="preserve"> etc</w:t>
                                  </w:r>
                                </w:p>
                                <w:p w14:paraId="244152B7" w14:textId="0D2E6074" w:rsidR="00E71A3B" w:rsidRDefault="00E8575B">
                                  <w:r>
                                    <w:t xml:space="preserve">Practicing skills for </w:t>
                                  </w:r>
                                  <w:r w:rsidR="0095580F">
                                    <w:t xml:space="preserve">times tables badges.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0EF0D9" w14:textId="77777777" w:rsidR="00E71A3B" w:rsidRDefault="00E8575B">
                                  <w:r>
                                    <w:t>Carrying out activities based on keys skills of maths:</w:t>
                                  </w:r>
                                </w:p>
                                <w:p w14:paraId="4D3AA1C7" w14:textId="77777777" w:rsidR="00E71A3B" w:rsidRDefault="00E8575B">
                                  <w:r>
                                    <w:t>Counting, number facts, times tables etc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5D2D54" w14:textId="77777777" w:rsidR="00E71A3B" w:rsidRDefault="00E8575B">
                                  <w:r>
                                    <w:t>Facilitating games, asking questions etc</w:t>
                                  </w:r>
                                </w:p>
                              </w:tc>
                            </w:tr>
                            <w:tr w:rsidR="0095580F" w14:paraId="634A8BEF" w14:textId="77777777" w:rsidTr="0095580F"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7E32CE0" w14:textId="77777777" w:rsidR="0095580F" w:rsidRDefault="00E8575B">
                                  <w:r>
                                    <w:t>Maths lesson</w:t>
                                  </w:r>
                                </w:p>
                                <w:p w14:paraId="651D1C72" w14:textId="241294CC" w:rsidR="00E71A3B" w:rsidRDefault="00E8575B">
                                  <w:r>
                                    <w:t>(</w:t>
                                  </w:r>
                                  <w:r w:rsidR="0095580F">
                                    <w:t>Part 1)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D9249F" w14:textId="77777777" w:rsidR="00E71A3B" w:rsidRDefault="00E8575B">
                                  <w:r>
                                    <w:t>Discussions</w:t>
                                  </w:r>
                                </w:p>
                                <w:p w14:paraId="2D5EAE1F" w14:textId="77777777" w:rsidR="00E71A3B" w:rsidRDefault="00E8575B">
                                  <w:r>
                                    <w:t>Ping ponging</w:t>
                                  </w:r>
                                </w:p>
                                <w:p w14:paraId="244AA43E" w14:textId="77777777" w:rsidR="00E71A3B" w:rsidRDefault="00E8575B">
                                  <w:r>
                                    <w:t>Whole class problem solving</w:t>
                                  </w:r>
                                </w:p>
                                <w:p w14:paraId="5E8BB537" w14:textId="310FE6B1" w:rsidR="00E71A3B" w:rsidRDefault="00E8575B">
                                  <w:r>
                                    <w:t>Introduc</w:t>
                                  </w:r>
                                  <w:r w:rsidR="0095580F">
                                    <w:t>ing of</w:t>
                                  </w:r>
                                  <w:r>
                                    <w:t xml:space="preserve"> concept</w:t>
                                  </w:r>
                                  <w:r w:rsidR="0095580F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B3DEE4" w14:textId="77777777" w:rsidR="00E71A3B" w:rsidRDefault="00E8575B">
                                  <w:r>
                                    <w:t>Demonstrating thinking</w:t>
                                  </w:r>
                                </w:p>
                                <w:p w14:paraId="7F7A977B" w14:textId="77777777" w:rsidR="00E71A3B" w:rsidRDefault="00E8575B">
                                  <w:r>
                                    <w:t>Working in pairs/groups</w:t>
                                  </w:r>
                                </w:p>
                                <w:p w14:paraId="1D1254E7" w14:textId="77777777" w:rsidR="00E71A3B" w:rsidRDefault="00E8575B">
                                  <w:r>
                                    <w:t>Using resources to solve problems</w:t>
                                  </w:r>
                                </w:p>
                                <w:p w14:paraId="634FE846" w14:textId="77777777" w:rsidR="00E71A3B" w:rsidRDefault="00E71A3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8EB4C7" w14:textId="77777777" w:rsidR="00E71A3B" w:rsidRDefault="00E8575B">
                                  <w:r>
                                    <w:t>Questioning</w:t>
                                  </w:r>
                                </w:p>
                                <w:p w14:paraId="7CB9E69E" w14:textId="77777777" w:rsidR="00E71A3B" w:rsidRDefault="00E8575B">
                                  <w:r>
                                    <w:t>Discussing with children</w:t>
                                  </w:r>
                                </w:p>
                                <w:p w14:paraId="02D141AD" w14:textId="77777777" w:rsidR="00E71A3B" w:rsidRDefault="00E8575B">
                                  <w:r>
                                    <w:t>Noting misconceptions</w:t>
                                  </w:r>
                                </w:p>
                                <w:p w14:paraId="30D12A25" w14:textId="77777777" w:rsidR="00E71A3B" w:rsidRDefault="00E8575B">
                                  <w:r>
                                    <w:t>Note any children needing extending.</w:t>
                                  </w:r>
                                </w:p>
                              </w:tc>
                            </w:tr>
                            <w:tr w:rsidR="0095580F" w14:paraId="247C222E" w14:textId="77777777" w:rsidTr="0095580F"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51A66" w14:textId="77777777" w:rsidR="0095580F" w:rsidRDefault="0095580F" w:rsidP="0095580F">
                                  <w:r>
                                    <w:t xml:space="preserve">Maths lesson </w:t>
                                  </w:r>
                                </w:p>
                                <w:p w14:paraId="3DE72D09" w14:textId="0692A41C" w:rsidR="0095580F" w:rsidRDefault="0095580F" w:rsidP="0095580F">
                                  <w:r>
                                    <w:t>(Part 2)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E6C9C" w14:textId="77777777" w:rsidR="0095580F" w:rsidRDefault="0095580F" w:rsidP="0095580F">
                                  <w:r>
                                    <w:t xml:space="preserve">Independent/group work. </w:t>
                                  </w:r>
                                </w:p>
                                <w:p w14:paraId="68B78A9C" w14:textId="38897D7B" w:rsidR="0095580F" w:rsidRDefault="0095580F" w:rsidP="0095580F">
                                  <w:r>
                                    <w:t xml:space="preserve">Fluency, varied fluency, problem solving, reasoning.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C5F50C" w14:textId="0D9FA53D" w:rsidR="0095580F" w:rsidRDefault="0095580F" w:rsidP="0095580F">
                                  <w:r>
                                    <w:t>Working independently/in groups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2C890" w14:textId="77777777" w:rsidR="0095580F" w:rsidRDefault="0095580F" w:rsidP="0095580F">
                                  <w:r>
                                    <w:t xml:space="preserve">Live marking. </w:t>
                                  </w:r>
                                </w:p>
                                <w:p w14:paraId="5A250704" w14:textId="77777777" w:rsidR="0095580F" w:rsidRDefault="0095580F" w:rsidP="0095580F">
                                  <w:r>
                                    <w:t xml:space="preserve">Moving children on. </w:t>
                                  </w:r>
                                </w:p>
                                <w:p w14:paraId="598B01F6" w14:textId="77777777" w:rsidR="0095580F" w:rsidRDefault="0095580F" w:rsidP="0095580F">
                                  <w:r>
                                    <w:t>Picking up misconceptions.</w:t>
                                  </w:r>
                                </w:p>
                                <w:p w14:paraId="50569417" w14:textId="44D72E95" w:rsidR="0095580F" w:rsidRDefault="0095580F" w:rsidP="0095580F"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95580F" w14:paraId="40059F30" w14:textId="77777777" w:rsidTr="0095580F"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30069" w14:textId="77777777" w:rsidR="0095580F" w:rsidRDefault="0095580F" w:rsidP="0095580F">
                                  <w:r>
                                    <w:t>Intervention</w:t>
                                  </w:r>
                                </w:p>
                                <w:p w14:paraId="493800CC" w14:textId="43F86300" w:rsidR="0095580F" w:rsidRDefault="0095580F" w:rsidP="0095580F">
                                  <w:r>
                                    <w:t>(</w:t>
                                  </w:r>
                                  <w:r>
                                    <w:t>Same</w:t>
                                  </w:r>
                                  <w:r>
                                    <w:t xml:space="preserve"> day</w:t>
                                  </w:r>
                                  <w:r>
                                    <w:t xml:space="preserve"> ideally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01CD3E" w14:textId="28F2F237" w:rsidR="0095580F" w:rsidRDefault="0095580F" w:rsidP="0095580F">
                                  <w:r>
                                    <w:t xml:space="preserve">Any children needing extra support </w:t>
                                  </w:r>
                                  <w:r>
                                    <w:t>to receive extra input during</w:t>
                                  </w:r>
                                  <w:r>
                                    <w:t xml:space="preserve"> assembly to revisit work 1:1 or in a small group</w:t>
                                  </w:r>
                                  <w:r>
                                    <w:t xml:space="preserve">. Precision </w:t>
                                  </w:r>
                                  <w:proofErr w:type="gramStart"/>
                                  <w:r>
                                    <w:t>teach</w:t>
                                  </w:r>
                                  <w:proofErr w:type="gramEnd"/>
                                  <w:r>
                                    <w:t xml:space="preserve"> session of specific skills when needed.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D6FA9" w14:textId="77777777" w:rsidR="0095580F" w:rsidRDefault="0095580F" w:rsidP="0095580F">
                                  <w:r>
                                    <w:t xml:space="preserve">Using any resources necessary </w:t>
                                  </w:r>
                                </w:p>
                                <w:p w14:paraId="5A2B8E13" w14:textId="4CC16209" w:rsidR="0095580F" w:rsidRDefault="0095580F" w:rsidP="0095580F">
                                  <w:r>
                                    <w:t>Discussing concepts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34935A" w14:textId="021A834D" w:rsidR="0095580F" w:rsidRDefault="0095580F" w:rsidP="0095580F">
                                  <w:r>
                                    <w:t>Working with small group</w:t>
                                  </w:r>
                                  <w:r>
                                    <w:t>s or individuals.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2B8D6D2" w14:textId="77777777" w:rsidR="00E71A3B" w:rsidRDefault="00E71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00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17.5pt;width:462.75pt;height:4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" fillcolor="window" stroked="f" strokeweight=".5pt">
                <v:textbox>
                  <w:txbxContent>
                    <w:tbl>
                      <w:tblPr>
                        <w:tblStyle w:val="TableGrid"/>
                        <w:tblW w:w="9322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091"/>
                        <w:gridCol w:w="2412"/>
                        <w:gridCol w:w="2268"/>
                        <w:gridCol w:w="2551"/>
                      </w:tblGrid>
                      <w:tr w:rsidR="0095580F" w14:paraId="6F2DF81C" w14:textId="77777777" w:rsidTr="0095580F"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C9E2CF" w14:textId="77777777" w:rsidR="00E71A3B" w:rsidRDefault="00E8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of maths teaching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0EE123" w14:textId="77777777" w:rsidR="00E71A3B" w:rsidRDefault="00E8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happening?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4DFCF8F" w14:textId="77777777" w:rsidR="00E71A3B" w:rsidRDefault="00E8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will the children be doing?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2A849A" w14:textId="77777777" w:rsidR="00E71A3B" w:rsidRDefault="00E8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will the teacher/ta be doing??</w:t>
                            </w:r>
                          </w:p>
                        </w:tc>
                      </w:tr>
                      <w:tr w:rsidR="0095580F" w14:paraId="5AA0C7C8" w14:textId="77777777" w:rsidTr="0095580F">
                        <w:trPr>
                          <w:trHeight w:val="1430"/>
                        </w:trPr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95D8318" w14:textId="77777777" w:rsidR="00E71A3B" w:rsidRDefault="00E8575B">
                            <w:r>
                              <w:t>Key skills practice</w:t>
                            </w:r>
                          </w:p>
                          <w:p w14:paraId="5194473A" w14:textId="7EAE6FA5" w:rsidR="0095580F" w:rsidRDefault="0095580F">
                            <w:r>
                              <w:t>(As a separate session to a maths lesson)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07D5C0E" w14:textId="2F852841" w:rsidR="00E71A3B" w:rsidRDefault="00E8575B">
                            <w:r>
                              <w:t xml:space="preserve">Practice of previously taught keys skills through games, quick fire questioning, </w:t>
                            </w:r>
                            <w:r w:rsidR="0095580F">
                              <w:t>Doodle Maths/tables</w:t>
                            </w:r>
                            <w:r>
                              <w:t xml:space="preserve"> etc</w:t>
                            </w:r>
                          </w:p>
                          <w:p w14:paraId="244152B7" w14:textId="0D2E6074" w:rsidR="00E71A3B" w:rsidRDefault="00E8575B">
                            <w:r>
                              <w:t xml:space="preserve">Practicing skills for </w:t>
                            </w:r>
                            <w:r w:rsidR="0095580F">
                              <w:t xml:space="preserve">times tables badges.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0EF0D9" w14:textId="77777777" w:rsidR="00E71A3B" w:rsidRDefault="00E8575B">
                            <w:r>
                              <w:t>Carrying out activities based on keys skills of maths:</w:t>
                            </w:r>
                          </w:p>
                          <w:p w14:paraId="4D3AA1C7" w14:textId="77777777" w:rsidR="00E71A3B" w:rsidRDefault="00E8575B">
                            <w:r>
                              <w:t>Counting, number facts, times tables etc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5D2D54" w14:textId="77777777" w:rsidR="00E71A3B" w:rsidRDefault="00E8575B">
                            <w:r>
                              <w:t>Facilitating games, asking questions etc</w:t>
                            </w:r>
                          </w:p>
                        </w:tc>
                      </w:tr>
                      <w:tr w:rsidR="0095580F" w14:paraId="634A8BEF" w14:textId="77777777" w:rsidTr="0095580F"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7E32CE0" w14:textId="77777777" w:rsidR="0095580F" w:rsidRDefault="00E8575B">
                            <w:r>
                              <w:t>Maths lesson</w:t>
                            </w:r>
                          </w:p>
                          <w:p w14:paraId="651D1C72" w14:textId="241294CC" w:rsidR="00E71A3B" w:rsidRDefault="00E8575B">
                            <w:r>
                              <w:t>(</w:t>
                            </w:r>
                            <w:r w:rsidR="0095580F">
                              <w:t>Part 1)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D9249F" w14:textId="77777777" w:rsidR="00E71A3B" w:rsidRDefault="00E8575B">
                            <w:r>
                              <w:t>Discussions</w:t>
                            </w:r>
                          </w:p>
                          <w:p w14:paraId="2D5EAE1F" w14:textId="77777777" w:rsidR="00E71A3B" w:rsidRDefault="00E8575B">
                            <w:r>
                              <w:t>Ping ponging</w:t>
                            </w:r>
                          </w:p>
                          <w:p w14:paraId="244AA43E" w14:textId="77777777" w:rsidR="00E71A3B" w:rsidRDefault="00E8575B">
                            <w:r>
                              <w:t>Whole class problem solving</w:t>
                            </w:r>
                          </w:p>
                          <w:p w14:paraId="5E8BB537" w14:textId="310FE6B1" w:rsidR="00E71A3B" w:rsidRDefault="00E8575B">
                            <w:r>
                              <w:t>Introduc</w:t>
                            </w:r>
                            <w:r w:rsidR="0095580F">
                              <w:t>ing of</w:t>
                            </w:r>
                            <w:r>
                              <w:t xml:space="preserve"> concept</w:t>
                            </w:r>
                            <w:r w:rsidR="0095580F">
                              <w:t>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B3DEE4" w14:textId="77777777" w:rsidR="00E71A3B" w:rsidRDefault="00E8575B">
                            <w:r>
                              <w:t>Demonstrating thinking</w:t>
                            </w:r>
                          </w:p>
                          <w:p w14:paraId="7F7A977B" w14:textId="77777777" w:rsidR="00E71A3B" w:rsidRDefault="00E8575B">
                            <w:r>
                              <w:t>Working in pairs/groups</w:t>
                            </w:r>
                          </w:p>
                          <w:p w14:paraId="1D1254E7" w14:textId="77777777" w:rsidR="00E71A3B" w:rsidRDefault="00E8575B">
                            <w:r>
                              <w:t>Using resources to solve problems</w:t>
                            </w:r>
                          </w:p>
                          <w:p w14:paraId="634FE846" w14:textId="77777777" w:rsidR="00E71A3B" w:rsidRDefault="00E71A3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8EB4C7" w14:textId="77777777" w:rsidR="00E71A3B" w:rsidRDefault="00E8575B">
                            <w:r>
                              <w:t>Questioning</w:t>
                            </w:r>
                          </w:p>
                          <w:p w14:paraId="7CB9E69E" w14:textId="77777777" w:rsidR="00E71A3B" w:rsidRDefault="00E8575B">
                            <w:r>
                              <w:t>Discussing with children</w:t>
                            </w:r>
                          </w:p>
                          <w:p w14:paraId="02D141AD" w14:textId="77777777" w:rsidR="00E71A3B" w:rsidRDefault="00E8575B">
                            <w:r>
                              <w:t>Noting misconceptions</w:t>
                            </w:r>
                          </w:p>
                          <w:p w14:paraId="30D12A25" w14:textId="77777777" w:rsidR="00E71A3B" w:rsidRDefault="00E8575B">
                            <w:r>
                              <w:t>Note any children needing extending.</w:t>
                            </w:r>
                          </w:p>
                        </w:tc>
                      </w:tr>
                      <w:tr w:rsidR="0095580F" w14:paraId="247C222E" w14:textId="77777777" w:rsidTr="0095580F"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51A66" w14:textId="77777777" w:rsidR="0095580F" w:rsidRDefault="0095580F" w:rsidP="0095580F">
                            <w:r>
                              <w:t xml:space="preserve">Maths lesson </w:t>
                            </w:r>
                          </w:p>
                          <w:p w14:paraId="3DE72D09" w14:textId="0692A41C" w:rsidR="0095580F" w:rsidRDefault="0095580F" w:rsidP="0095580F">
                            <w:r>
                              <w:t>(Part 2)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E6C9C" w14:textId="77777777" w:rsidR="0095580F" w:rsidRDefault="0095580F" w:rsidP="0095580F">
                            <w:r>
                              <w:t xml:space="preserve">Independent/group work. </w:t>
                            </w:r>
                          </w:p>
                          <w:p w14:paraId="68B78A9C" w14:textId="38897D7B" w:rsidR="0095580F" w:rsidRDefault="0095580F" w:rsidP="0095580F">
                            <w:r>
                              <w:t xml:space="preserve">Fluency, varied fluency, problem solving, reasoning.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C5F50C" w14:textId="0D9FA53D" w:rsidR="0095580F" w:rsidRDefault="0095580F" w:rsidP="0095580F">
                            <w:r>
                              <w:t>Working independently/in groups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2C890" w14:textId="77777777" w:rsidR="0095580F" w:rsidRDefault="0095580F" w:rsidP="0095580F">
                            <w:r>
                              <w:t xml:space="preserve">Live marking. </w:t>
                            </w:r>
                          </w:p>
                          <w:p w14:paraId="5A250704" w14:textId="77777777" w:rsidR="0095580F" w:rsidRDefault="0095580F" w:rsidP="0095580F">
                            <w:r>
                              <w:t xml:space="preserve">Moving children on. </w:t>
                            </w:r>
                          </w:p>
                          <w:p w14:paraId="598B01F6" w14:textId="77777777" w:rsidR="0095580F" w:rsidRDefault="0095580F" w:rsidP="0095580F">
                            <w:r>
                              <w:t>Picking up misconceptions.</w:t>
                            </w:r>
                          </w:p>
                          <w:p w14:paraId="50569417" w14:textId="44D72E95" w:rsidR="0095580F" w:rsidRDefault="0095580F" w:rsidP="0095580F">
                            <w:r>
                              <w:t xml:space="preserve"> </w:t>
                            </w:r>
                          </w:p>
                        </w:tc>
                      </w:tr>
                      <w:tr w:rsidR="0095580F" w14:paraId="40059F30" w14:textId="77777777" w:rsidTr="0095580F"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130069" w14:textId="77777777" w:rsidR="0095580F" w:rsidRDefault="0095580F" w:rsidP="0095580F">
                            <w:r>
                              <w:t>Intervention</w:t>
                            </w:r>
                          </w:p>
                          <w:p w14:paraId="493800CC" w14:textId="43F86300" w:rsidR="0095580F" w:rsidRDefault="0095580F" w:rsidP="0095580F">
                            <w:r>
                              <w:t>(</w:t>
                            </w:r>
                            <w:r>
                              <w:t>Same</w:t>
                            </w:r>
                            <w:r>
                              <w:t xml:space="preserve"> day</w:t>
                            </w:r>
                            <w:r>
                              <w:t xml:space="preserve"> ideally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01CD3E" w14:textId="28F2F237" w:rsidR="0095580F" w:rsidRDefault="0095580F" w:rsidP="0095580F">
                            <w:r>
                              <w:t xml:space="preserve">Any children needing extra support </w:t>
                            </w:r>
                            <w:r>
                              <w:t>to receive extra input during</w:t>
                            </w:r>
                            <w:r>
                              <w:t xml:space="preserve"> assembly to revisit work 1:1 or in a small group</w:t>
                            </w:r>
                            <w:r>
                              <w:t xml:space="preserve">. Precision </w:t>
                            </w:r>
                            <w:proofErr w:type="gramStart"/>
                            <w:r>
                              <w:t>teach</w:t>
                            </w:r>
                            <w:proofErr w:type="gramEnd"/>
                            <w:r>
                              <w:t xml:space="preserve"> session of specific skills when needed.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D6FA9" w14:textId="77777777" w:rsidR="0095580F" w:rsidRDefault="0095580F" w:rsidP="0095580F">
                            <w:r>
                              <w:t xml:space="preserve">Using any resources necessary </w:t>
                            </w:r>
                          </w:p>
                          <w:p w14:paraId="5A2B8E13" w14:textId="4CC16209" w:rsidR="0095580F" w:rsidRDefault="0095580F" w:rsidP="0095580F">
                            <w:r>
                              <w:t>Discussing concepts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34935A" w14:textId="021A834D" w:rsidR="0095580F" w:rsidRDefault="0095580F" w:rsidP="0095580F">
                            <w:r>
                              <w:t>Working with small group</w:t>
                            </w:r>
                            <w:r>
                              <w:t>s or individuals.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14:paraId="32B8D6D2" w14:textId="77777777" w:rsidR="00E71A3B" w:rsidRDefault="00E71A3B"/>
                  </w:txbxContent>
                </v:textbox>
                <w10:wrap type="square"/>
              </v:shape>
            </w:pict>
          </mc:Fallback>
        </mc:AlternateContent>
      </w:r>
    </w:p>
    <w:p w14:paraId="442CFB0A" w14:textId="2EFC9668" w:rsidR="00E71A3B" w:rsidRDefault="00E71A3B" w:rsidP="0095580F">
      <w:pPr>
        <w:spacing w:after="0" w:line="240" w:lineRule="auto"/>
        <w:rPr>
          <w:rFonts w:ascii="Arial" w:hAnsi="Arial" w:cs="Arial"/>
          <w:sz w:val="28"/>
          <w:szCs w:val="32"/>
          <w:u w:val="single"/>
        </w:rPr>
      </w:pPr>
    </w:p>
    <w:p w14:paraId="67117760" w14:textId="549ED01B" w:rsidR="00E71A3B" w:rsidRDefault="0095580F">
      <w:pPr>
        <w:ind w:hanging="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lastRenderedPageBreak/>
        <w:t>Cro</w:t>
      </w:r>
      <w:r w:rsidR="00E8575B">
        <w:rPr>
          <w:rFonts w:ascii="Arial" w:hAnsi="Arial" w:cs="Arial"/>
          <w:sz w:val="28"/>
          <w:szCs w:val="32"/>
          <w:u w:val="single"/>
        </w:rPr>
        <w:t>ss curricular</w:t>
      </w:r>
      <w:r w:rsidR="00E8575B">
        <w:rPr>
          <w:rFonts w:ascii="Arial" w:hAnsi="Arial" w:cs="Arial"/>
          <w:szCs w:val="24"/>
        </w:rPr>
        <w:t xml:space="preserve"> </w:t>
      </w:r>
    </w:p>
    <w:p w14:paraId="241D9098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Throughout the whole curriculum, opportunities to extend and promote Mathematics should be sought. Nevertheless, the prime focus should be on ensuring mathematical progress delivered discretely or otherwise. </w:t>
      </w:r>
    </w:p>
    <w:p w14:paraId="1D40CE38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t>Calculation Policy</w:t>
      </w:r>
      <w:r>
        <w:rPr>
          <w:rFonts w:ascii="Arial" w:hAnsi="Arial" w:cs="Arial"/>
          <w:szCs w:val="24"/>
        </w:rPr>
        <w:t xml:space="preserve"> </w:t>
      </w:r>
    </w:p>
    <w:p w14:paraId="5A33FA42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school follows the White Rose calculation policy.  </w:t>
      </w:r>
    </w:p>
    <w:p w14:paraId="17148D7F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t>Inclusion and equal opportunities</w:t>
      </w:r>
      <w:r>
        <w:rPr>
          <w:rFonts w:ascii="Arial" w:hAnsi="Arial" w:cs="Arial"/>
          <w:szCs w:val="24"/>
        </w:rPr>
        <w:t xml:space="preserve"> </w:t>
      </w:r>
    </w:p>
    <w:p w14:paraId="0A84FA9C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children are provided with equal access to the mathematics curriculum. We aim to provide suitable learning opportunities regardless of gender, </w:t>
      </w:r>
      <w:proofErr w:type="gramStart"/>
      <w:r>
        <w:rPr>
          <w:rFonts w:ascii="Arial" w:hAnsi="Arial" w:cs="Arial"/>
          <w:szCs w:val="24"/>
        </w:rPr>
        <w:t>ethnicity</w:t>
      </w:r>
      <w:proofErr w:type="gramEnd"/>
      <w:r>
        <w:rPr>
          <w:rFonts w:ascii="Arial" w:hAnsi="Arial" w:cs="Arial"/>
          <w:szCs w:val="24"/>
        </w:rPr>
        <w:t xml:space="preserve"> or home background. </w:t>
      </w:r>
    </w:p>
    <w:p w14:paraId="2A8EF25D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t>Resources</w:t>
      </w:r>
      <w:r>
        <w:rPr>
          <w:rFonts w:ascii="Arial" w:hAnsi="Arial" w:cs="Arial"/>
          <w:szCs w:val="24"/>
        </w:rPr>
        <w:t xml:space="preserve"> </w:t>
      </w:r>
    </w:p>
    <w:p w14:paraId="48F49C65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Resources which are not used or required regularly are stored centrally and accessed by teachers at the beginning of a topic. </w:t>
      </w:r>
    </w:p>
    <w:p w14:paraId="6B20BAE3" w14:textId="77777777" w:rsidR="00E71A3B" w:rsidRDefault="00E8575B">
      <w:pPr>
        <w:ind w:hanging="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t>Displays</w:t>
      </w:r>
      <w:r>
        <w:rPr>
          <w:rFonts w:ascii="Arial" w:hAnsi="Arial" w:cs="Arial"/>
          <w:szCs w:val="24"/>
        </w:rPr>
        <w:t xml:space="preserve"> </w:t>
      </w:r>
    </w:p>
    <w:p w14:paraId="61AE7B64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classrooms must have a working wall relating to the current topic including key vocabulary. </w:t>
      </w:r>
    </w:p>
    <w:p w14:paraId="7DC09EF0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32"/>
          <w:u w:val="single"/>
        </w:rPr>
        <w:t>Review</w:t>
      </w:r>
      <w:r>
        <w:rPr>
          <w:rFonts w:ascii="Arial" w:hAnsi="Arial" w:cs="Arial"/>
          <w:szCs w:val="24"/>
        </w:rPr>
        <w:t xml:space="preserve"> </w:t>
      </w:r>
    </w:p>
    <w:p w14:paraId="619E67CE" w14:textId="77777777" w:rsidR="00E71A3B" w:rsidRDefault="00E8575B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mathematics policy will be reviewed annually.</w:t>
      </w:r>
    </w:p>
    <w:p w14:paraId="1501252D" w14:textId="77777777" w:rsidR="00E71A3B" w:rsidRDefault="00E71A3B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67FBF2EE" w14:textId="77777777" w:rsidR="00E71A3B" w:rsidRDefault="00E71A3B">
      <w:pPr>
        <w:ind w:left="-284"/>
        <w:rPr>
          <w:rFonts w:ascii="Arial" w:hAnsi="Arial" w:cs="Arial"/>
          <w:sz w:val="24"/>
          <w:szCs w:val="24"/>
        </w:rPr>
      </w:pPr>
    </w:p>
    <w:p w14:paraId="47A38E85" w14:textId="77777777" w:rsidR="00E71A3B" w:rsidRDefault="00E71A3B">
      <w:pPr>
        <w:ind w:left="-284"/>
        <w:rPr>
          <w:rFonts w:ascii="Arial" w:hAnsi="Arial" w:cs="Arial"/>
          <w:sz w:val="24"/>
          <w:szCs w:val="24"/>
        </w:rPr>
      </w:pPr>
    </w:p>
    <w:p w14:paraId="689F5A08" w14:textId="77777777" w:rsidR="00E71A3B" w:rsidRDefault="00E71A3B">
      <w:pPr>
        <w:rPr>
          <w:rFonts w:ascii="Arial" w:hAnsi="Arial" w:cs="Arial"/>
          <w:sz w:val="24"/>
          <w:szCs w:val="24"/>
        </w:rPr>
      </w:pPr>
    </w:p>
    <w:p w14:paraId="444DDD51" w14:textId="77777777" w:rsidR="00E71A3B" w:rsidRDefault="00E71A3B">
      <w:pPr>
        <w:rPr>
          <w:rFonts w:ascii="Arial" w:hAnsi="Arial" w:cs="Arial"/>
          <w:sz w:val="24"/>
          <w:szCs w:val="24"/>
        </w:rPr>
      </w:pPr>
    </w:p>
    <w:p w14:paraId="7A30424A" w14:textId="77777777" w:rsidR="00E71A3B" w:rsidRDefault="00E71A3B">
      <w:pPr>
        <w:rPr>
          <w:rFonts w:ascii="Arial" w:hAnsi="Arial" w:cs="Arial"/>
          <w:sz w:val="24"/>
          <w:szCs w:val="24"/>
        </w:rPr>
      </w:pPr>
    </w:p>
    <w:sectPr w:rsidR="00E71A3B">
      <w:headerReference w:type="default" r:id="rId9"/>
      <w:pgSz w:w="11906" w:h="16838"/>
      <w:pgMar w:top="567" w:right="1440" w:bottom="851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C57F" w14:textId="77777777" w:rsidR="00E71A3B" w:rsidRDefault="00E8575B">
      <w:pPr>
        <w:spacing w:after="0" w:line="240" w:lineRule="auto"/>
      </w:pPr>
      <w:r>
        <w:separator/>
      </w:r>
    </w:p>
  </w:endnote>
  <w:endnote w:type="continuationSeparator" w:id="0">
    <w:p w14:paraId="1D2D5536" w14:textId="77777777" w:rsidR="00E71A3B" w:rsidRDefault="00E8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681E" w14:textId="77777777" w:rsidR="00E71A3B" w:rsidRDefault="00E8575B">
      <w:pPr>
        <w:spacing w:after="0" w:line="240" w:lineRule="auto"/>
      </w:pPr>
      <w:r>
        <w:separator/>
      </w:r>
    </w:p>
  </w:footnote>
  <w:footnote w:type="continuationSeparator" w:id="0">
    <w:p w14:paraId="09BC630B" w14:textId="77777777" w:rsidR="00E71A3B" w:rsidRDefault="00E8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3639" w14:textId="77777777" w:rsidR="00E71A3B" w:rsidRDefault="00E8575B">
    <w:pPr>
      <w:pStyle w:val="Header"/>
      <w:rPr>
        <w:rFonts w:ascii="Tahoma" w:hAnsi="Tahoma" w:cs="Tahoma"/>
        <w:color w:val="943634" w:themeColor="accent2" w:themeShade="BF"/>
      </w:rPr>
    </w:pPr>
    <w:r>
      <w:rPr>
        <w:rFonts w:ascii="Tahoma" w:hAnsi="Tahoma" w:cs="Tahoma"/>
        <w:color w:val="943634" w:themeColor="accent2" w:themeShade="BF"/>
      </w:rPr>
      <w:t xml:space="preserve">                                               Mathematics Policy 2020</w:t>
    </w:r>
  </w:p>
  <w:p w14:paraId="55AD1820" w14:textId="77777777" w:rsidR="00E71A3B" w:rsidRDefault="00E71A3B">
    <w:pPr>
      <w:pStyle w:val="Header"/>
      <w:jc w:val="center"/>
      <w:rPr>
        <w:rFonts w:ascii="Tahoma" w:hAnsi="Tahoma" w:cs="Tahoma"/>
        <w:color w:val="943634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2C2"/>
    <w:multiLevelType w:val="hybridMultilevel"/>
    <w:tmpl w:val="A2FE770A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1E94CE7"/>
    <w:multiLevelType w:val="hybridMultilevel"/>
    <w:tmpl w:val="06AE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656"/>
    <w:multiLevelType w:val="hybridMultilevel"/>
    <w:tmpl w:val="2CFC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21E"/>
    <w:multiLevelType w:val="hybridMultilevel"/>
    <w:tmpl w:val="67BE6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474A"/>
    <w:multiLevelType w:val="hybridMultilevel"/>
    <w:tmpl w:val="D530088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A8207A4"/>
    <w:multiLevelType w:val="hybridMultilevel"/>
    <w:tmpl w:val="5B2A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10193"/>
    <w:multiLevelType w:val="hybridMultilevel"/>
    <w:tmpl w:val="7772D56E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42847844"/>
    <w:multiLevelType w:val="hybridMultilevel"/>
    <w:tmpl w:val="2A882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1676AD"/>
    <w:multiLevelType w:val="hybridMultilevel"/>
    <w:tmpl w:val="360CC9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739F0"/>
    <w:multiLevelType w:val="hybridMultilevel"/>
    <w:tmpl w:val="A6C20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14A83"/>
    <w:multiLevelType w:val="hybridMultilevel"/>
    <w:tmpl w:val="8F5886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54A12"/>
    <w:multiLevelType w:val="hybridMultilevel"/>
    <w:tmpl w:val="D02E0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461231">
    <w:abstractNumId w:val="5"/>
  </w:num>
  <w:num w:numId="2" w16cid:durableId="1213615978">
    <w:abstractNumId w:val="7"/>
  </w:num>
  <w:num w:numId="3" w16cid:durableId="909727155">
    <w:abstractNumId w:val="9"/>
  </w:num>
  <w:num w:numId="4" w16cid:durableId="309483540">
    <w:abstractNumId w:val="11"/>
  </w:num>
  <w:num w:numId="5" w16cid:durableId="122160657">
    <w:abstractNumId w:val="2"/>
  </w:num>
  <w:num w:numId="6" w16cid:durableId="802430710">
    <w:abstractNumId w:val="3"/>
  </w:num>
  <w:num w:numId="7" w16cid:durableId="345787953">
    <w:abstractNumId w:val="6"/>
  </w:num>
  <w:num w:numId="8" w16cid:durableId="38090642">
    <w:abstractNumId w:val="0"/>
  </w:num>
  <w:num w:numId="9" w16cid:durableId="1747417412">
    <w:abstractNumId w:val="1"/>
  </w:num>
  <w:num w:numId="10" w16cid:durableId="900746629">
    <w:abstractNumId w:val="4"/>
  </w:num>
  <w:num w:numId="11" w16cid:durableId="65341665">
    <w:abstractNumId w:val="8"/>
  </w:num>
  <w:num w:numId="12" w16cid:durableId="991055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3B"/>
    <w:rsid w:val="0037727E"/>
    <w:rsid w:val="00625C86"/>
    <w:rsid w:val="0095580F"/>
    <w:rsid w:val="009674B5"/>
    <w:rsid w:val="00E71A3B"/>
    <w:rsid w:val="00E8575B"/>
    <w:rsid w:val="00FA1A35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C360FAC"/>
  <w15:docId w15:val="{C00623AC-1DFC-4DFF-8B9E-91DA13C0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5C8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color w:val="800000"/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25C86"/>
    <w:rPr>
      <w:rFonts w:ascii="Arial" w:eastAsia="Times New Roman" w:hAnsi="Arial" w:cs="Arial"/>
      <w:color w:val="800000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3CD6-316F-4D94-8F92-D49927D3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Mottram Primary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scattergood</dc:creator>
  <cp:lastModifiedBy>Joanne Marrow</cp:lastModifiedBy>
  <cp:revision>2</cp:revision>
  <cp:lastPrinted>2020-10-07T08:53:00Z</cp:lastPrinted>
  <dcterms:created xsi:type="dcterms:W3CDTF">2023-02-03T12:05:00Z</dcterms:created>
  <dcterms:modified xsi:type="dcterms:W3CDTF">2023-02-03T12:05:00Z</dcterms:modified>
</cp:coreProperties>
</file>